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D07" w:rsidRPr="001A3666" w:rsidRDefault="00220758" w:rsidP="00EC30B4">
      <w:pPr>
        <w:autoSpaceDE w:val="0"/>
        <w:autoSpaceDN w:val="0"/>
        <w:adjustRightInd w:val="0"/>
        <w:spacing w:after="0" w:line="360" w:lineRule="auto"/>
        <w:rPr>
          <w:rFonts w:cs="Times New Roman"/>
          <w:b/>
          <w:bCs/>
          <w:sz w:val="24"/>
          <w:szCs w:val="24"/>
          <w:u w:val="single"/>
        </w:rPr>
      </w:pPr>
      <w:r w:rsidRPr="001A3666">
        <w:rPr>
          <w:rFonts w:cs="Times New Roman"/>
          <w:b/>
          <w:bCs/>
          <w:sz w:val="24"/>
          <w:szCs w:val="24"/>
          <w:u w:val="single"/>
        </w:rPr>
        <w:t>Further Reading</w:t>
      </w:r>
    </w:p>
    <w:p w:rsidR="001A3666" w:rsidRDefault="001A3666" w:rsidP="001A3666">
      <w:pPr>
        <w:autoSpaceDE w:val="0"/>
        <w:autoSpaceDN w:val="0"/>
        <w:adjustRightInd w:val="0"/>
        <w:spacing w:after="0" w:line="240" w:lineRule="auto"/>
        <w:rPr>
          <w:rFonts w:cs="Times New Roman"/>
          <w:bCs/>
          <w:sz w:val="24"/>
          <w:szCs w:val="24"/>
        </w:rPr>
      </w:pPr>
      <w:r w:rsidRPr="00A644B3">
        <w:rPr>
          <w:rFonts w:cs="Times New Roman"/>
          <w:bCs/>
          <w:sz w:val="24"/>
          <w:szCs w:val="24"/>
          <w:u w:val="single"/>
        </w:rPr>
        <w:t>Urban Blight Remediation as a Cost-Beneficial Solution to Firearm Violence</w:t>
      </w:r>
      <w:r w:rsidR="00A644B3">
        <w:rPr>
          <w:rFonts w:cs="Times New Roman"/>
          <w:bCs/>
          <w:sz w:val="24"/>
          <w:szCs w:val="24"/>
        </w:rPr>
        <w:t xml:space="preserve">, </w:t>
      </w:r>
      <w:r w:rsidRPr="00220758">
        <w:rPr>
          <w:rFonts w:cs="Times New Roman"/>
          <w:bCs/>
          <w:sz w:val="24"/>
          <w:szCs w:val="24"/>
        </w:rPr>
        <w:t xml:space="preserve">Charles C. Branas, </w:t>
      </w:r>
      <w:bookmarkStart w:id="0" w:name="_GoBack"/>
      <w:r w:rsidRPr="00220758">
        <w:rPr>
          <w:rFonts w:cs="Times New Roman"/>
          <w:bCs/>
          <w:sz w:val="24"/>
          <w:szCs w:val="24"/>
        </w:rPr>
        <w:t>Michelle C. Kondo</w:t>
      </w:r>
      <w:bookmarkEnd w:id="0"/>
      <w:r w:rsidRPr="00220758">
        <w:rPr>
          <w:rFonts w:cs="Times New Roman"/>
          <w:bCs/>
          <w:sz w:val="24"/>
          <w:szCs w:val="24"/>
        </w:rPr>
        <w:t>, Sean M. Murphy, Eugenia C. South, Daniel Polsky, John M. MacDonald</w:t>
      </w:r>
      <w:r>
        <w:rPr>
          <w:rFonts w:cs="Times New Roman"/>
          <w:bCs/>
          <w:sz w:val="24"/>
          <w:szCs w:val="24"/>
        </w:rPr>
        <w:t xml:space="preserve">. </w:t>
      </w:r>
      <w:r w:rsidRPr="00A644B3">
        <w:rPr>
          <w:rFonts w:cs="Times New Roman"/>
          <w:bCs/>
          <w:i/>
          <w:sz w:val="24"/>
          <w:szCs w:val="24"/>
        </w:rPr>
        <w:t>American Journal of Public Health</w:t>
      </w:r>
      <w:r w:rsidRPr="00021F36">
        <w:rPr>
          <w:rFonts w:cs="Times New Roman"/>
          <w:bCs/>
          <w:sz w:val="24"/>
          <w:szCs w:val="24"/>
        </w:rPr>
        <w:t>: December 2016, Vol. 106, No. 12, pp. 2158-2164</w:t>
      </w:r>
    </w:p>
    <w:p w:rsidR="001A3666" w:rsidRDefault="001A3666" w:rsidP="001A3666">
      <w:pPr>
        <w:autoSpaceDE w:val="0"/>
        <w:autoSpaceDN w:val="0"/>
        <w:adjustRightInd w:val="0"/>
        <w:spacing w:after="0" w:line="240" w:lineRule="auto"/>
        <w:rPr>
          <w:rFonts w:cs="Times New Roman"/>
          <w:bCs/>
          <w:sz w:val="24"/>
          <w:szCs w:val="24"/>
        </w:rPr>
      </w:pPr>
    </w:p>
    <w:p w:rsidR="005A5A0D" w:rsidRDefault="005A5A0D" w:rsidP="005A5A0D">
      <w:pPr>
        <w:autoSpaceDE w:val="0"/>
        <w:autoSpaceDN w:val="0"/>
        <w:adjustRightInd w:val="0"/>
        <w:spacing w:after="0" w:line="240" w:lineRule="auto"/>
        <w:rPr>
          <w:rFonts w:cs="Times New Roman"/>
          <w:bCs/>
          <w:sz w:val="24"/>
          <w:szCs w:val="24"/>
        </w:rPr>
      </w:pPr>
      <w:r w:rsidRPr="005A5A0D">
        <w:rPr>
          <w:rFonts w:cs="Times New Roman"/>
          <w:bCs/>
          <w:sz w:val="24"/>
          <w:szCs w:val="24"/>
        </w:rPr>
        <w:t xml:space="preserve">CONCLUSIONS: </w:t>
      </w:r>
      <w:r>
        <w:rPr>
          <w:rFonts w:cs="Times New Roman"/>
          <w:bCs/>
          <w:sz w:val="24"/>
          <w:szCs w:val="24"/>
        </w:rPr>
        <w:t xml:space="preserve"> </w:t>
      </w:r>
      <w:r w:rsidRPr="005A5A0D">
        <w:rPr>
          <w:rFonts w:cs="Times New Roman"/>
          <w:bCs/>
          <w:sz w:val="24"/>
          <w:szCs w:val="24"/>
        </w:rPr>
        <w:t>Abandoned buildings and vacant lots are blighted structures seen daily by urban residents that may create physical opportunities for violence by sheltering illegal activity and illegal firearms. Urban blight remediation programs can be cost-beneficial strategies that significantly and sustainably reduce firearm violence.</w:t>
      </w:r>
    </w:p>
    <w:p w:rsidR="005A5A0D" w:rsidRDefault="005A5A0D" w:rsidP="001A3666">
      <w:pPr>
        <w:autoSpaceDE w:val="0"/>
        <w:autoSpaceDN w:val="0"/>
        <w:adjustRightInd w:val="0"/>
        <w:spacing w:after="0" w:line="240" w:lineRule="auto"/>
        <w:rPr>
          <w:rFonts w:cs="Times New Roman"/>
          <w:bCs/>
          <w:sz w:val="24"/>
          <w:szCs w:val="24"/>
        </w:rPr>
      </w:pPr>
    </w:p>
    <w:p w:rsidR="005A5A0D" w:rsidRDefault="005A5A0D" w:rsidP="001A3666">
      <w:pPr>
        <w:autoSpaceDE w:val="0"/>
        <w:autoSpaceDN w:val="0"/>
        <w:adjustRightInd w:val="0"/>
        <w:spacing w:after="0" w:line="240" w:lineRule="auto"/>
        <w:rPr>
          <w:rFonts w:cs="Times New Roman"/>
          <w:bCs/>
          <w:sz w:val="24"/>
          <w:szCs w:val="24"/>
        </w:rPr>
      </w:pPr>
    </w:p>
    <w:p w:rsidR="001A3666" w:rsidRPr="00021F36" w:rsidRDefault="001A3666" w:rsidP="001A3666">
      <w:pPr>
        <w:autoSpaceDE w:val="0"/>
        <w:autoSpaceDN w:val="0"/>
        <w:adjustRightInd w:val="0"/>
        <w:spacing w:after="0" w:line="240" w:lineRule="auto"/>
        <w:rPr>
          <w:rFonts w:cs="Times New Roman"/>
          <w:bCs/>
          <w:sz w:val="24"/>
          <w:szCs w:val="24"/>
        </w:rPr>
      </w:pPr>
      <w:r w:rsidRPr="00A644B3">
        <w:rPr>
          <w:rFonts w:cs="Times New Roman"/>
          <w:bCs/>
          <w:sz w:val="24"/>
          <w:szCs w:val="24"/>
          <w:u w:val="single"/>
        </w:rPr>
        <w:t>Neighborhood Blight, Stress, and Health: A Walking Trial of Urban Greening and Ambulatory Heart Rate</w:t>
      </w:r>
      <w:r>
        <w:rPr>
          <w:rFonts w:cs="Times New Roman"/>
          <w:bCs/>
          <w:sz w:val="24"/>
          <w:szCs w:val="24"/>
        </w:rPr>
        <w:t xml:space="preserve">. </w:t>
      </w:r>
      <w:r w:rsidRPr="00021F36">
        <w:rPr>
          <w:rFonts w:cs="Times New Roman"/>
          <w:bCs/>
          <w:sz w:val="24"/>
          <w:szCs w:val="24"/>
        </w:rPr>
        <w:t>Eugenia C. South, Michelle C. Kondo, Rose A. Cheney, Charles C. Branas</w:t>
      </w:r>
    </w:p>
    <w:p w:rsidR="001A3666" w:rsidRDefault="001A3666" w:rsidP="001A3666">
      <w:pPr>
        <w:autoSpaceDE w:val="0"/>
        <w:autoSpaceDN w:val="0"/>
        <w:adjustRightInd w:val="0"/>
        <w:spacing w:after="0" w:line="240" w:lineRule="auto"/>
        <w:rPr>
          <w:rFonts w:cs="Times New Roman"/>
          <w:bCs/>
          <w:sz w:val="24"/>
          <w:szCs w:val="24"/>
        </w:rPr>
      </w:pPr>
      <w:r w:rsidRPr="00A644B3">
        <w:rPr>
          <w:rFonts w:cs="Times New Roman"/>
          <w:bCs/>
          <w:i/>
          <w:sz w:val="24"/>
          <w:szCs w:val="24"/>
        </w:rPr>
        <w:t>American Journal of Public Health:</w:t>
      </w:r>
      <w:r w:rsidRPr="00021F36">
        <w:rPr>
          <w:rFonts w:cs="Times New Roman"/>
          <w:bCs/>
          <w:sz w:val="24"/>
          <w:szCs w:val="24"/>
        </w:rPr>
        <w:t xml:space="preserve"> May 2015, Vol. 105, No. 5, pp. 909-913</w:t>
      </w:r>
    </w:p>
    <w:p w:rsidR="001A3666" w:rsidRDefault="001A3666" w:rsidP="001A3666">
      <w:pPr>
        <w:autoSpaceDE w:val="0"/>
        <w:autoSpaceDN w:val="0"/>
        <w:adjustRightInd w:val="0"/>
        <w:spacing w:after="0" w:line="240" w:lineRule="auto"/>
        <w:rPr>
          <w:rFonts w:cs="Times New Roman"/>
          <w:bCs/>
          <w:sz w:val="24"/>
          <w:szCs w:val="24"/>
        </w:rPr>
      </w:pPr>
    </w:p>
    <w:p w:rsidR="009F334C" w:rsidRDefault="009F334C" w:rsidP="001A3666">
      <w:pPr>
        <w:autoSpaceDE w:val="0"/>
        <w:autoSpaceDN w:val="0"/>
        <w:adjustRightInd w:val="0"/>
        <w:spacing w:after="0" w:line="240" w:lineRule="auto"/>
        <w:rPr>
          <w:rFonts w:cs="Times New Roman"/>
          <w:bCs/>
          <w:sz w:val="24"/>
          <w:szCs w:val="24"/>
        </w:rPr>
      </w:pPr>
      <w:r w:rsidRPr="009F334C">
        <w:rPr>
          <w:rFonts w:cs="Times New Roman"/>
          <w:bCs/>
          <w:sz w:val="24"/>
          <w:szCs w:val="24"/>
        </w:rPr>
        <w:t>A</w:t>
      </w:r>
      <w:r>
        <w:rPr>
          <w:rFonts w:cs="Times New Roman"/>
          <w:bCs/>
          <w:sz w:val="24"/>
          <w:szCs w:val="24"/>
        </w:rPr>
        <w:t xml:space="preserve">BSTRACT: </w:t>
      </w:r>
      <w:r w:rsidRPr="009F334C">
        <w:rPr>
          <w:rFonts w:cs="Times New Roman"/>
          <w:bCs/>
          <w:sz w:val="24"/>
          <w:szCs w:val="24"/>
        </w:rPr>
        <w:t>We measured dynamic stress responses using ambulatory heart rate monitoring as participants in Philadelphia, Pennsylvania walked past vacant lots before and after a greening remediation treatment of randomly selected lots. Being in view of a greened vacant lot decreased heart rate significantly more than did being in view of a non</w:t>
      </w:r>
      <w:r>
        <w:rPr>
          <w:rFonts w:cs="Times New Roman"/>
          <w:bCs/>
          <w:sz w:val="24"/>
          <w:szCs w:val="24"/>
        </w:rPr>
        <w:t>-</w:t>
      </w:r>
      <w:r w:rsidRPr="009F334C">
        <w:rPr>
          <w:rFonts w:cs="Times New Roman"/>
          <w:bCs/>
          <w:sz w:val="24"/>
          <w:szCs w:val="24"/>
        </w:rPr>
        <w:t>greened vacant lot or not in view of any vacant lot. Remediating neighborhood blight may reduce stress and improve health.</w:t>
      </w:r>
    </w:p>
    <w:p w:rsidR="009F334C" w:rsidRDefault="009F334C" w:rsidP="001A3666">
      <w:pPr>
        <w:autoSpaceDE w:val="0"/>
        <w:autoSpaceDN w:val="0"/>
        <w:adjustRightInd w:val="0"/>
        <w:spacing w:after="0" w:line="240" w:lineRule="auto"/>
        <w:rPr>
          <w:rFonts w:cs="Times New Roman"/>
          <w:bCs/>
          <w:sz w:val="24"/>
          <w:szCs w:val="24"/>
        </w:rPr>
      </w:pPr>
    </w:p>
    <w:p w:rsidR="00ED3D07" w:rsidRDefault="001A3666" w:rsidP="001A3666">
      <w:pPr>
        <w:autoSpaceDE w:val="0"/>
        <w:autoSpaceDN w:val="0"/>
        <w:adjustRightInd w:val="0"/>
        <w:spacing w:after="0" w:line="240" w:lineRule="auto"/>
        <w:rPr>
          <w:rFonts w:cs="Times New Roman"/>
          <w:bCs/>
          <w:sz w:val="24"/>
          <w:szCs w:val="24"/>
        </w:rPr>
      </w:pPr>
      <w:r w:rsidRPr="003F37A0">
        <w:rPr>
          <w:rFonts w:cs="Times New Roman"/>
          <w:bCs/>
          <w:sz w:val="24"/>
          <w:szCs w:val="24"/>
          <w:u w:val="single"/>
        </w:rPr>
        <w:t>Effects of greening and community reuse of vacant lots on crime</w:t>
      </w:r>
      <w:r w:rsidRPr="001A3666">
        <w:rPr>
          <w:rFonts w:cs="Times New Roman"/>
          <w:bCs/>
          <w:sz w:val="24"/>
          <w:szCs w:val="24"/>
        </w:rPr>
        <w:t xml:space="preserve">. </w:t>
      </w:r>
      <w:r w:rsidR="00A644B3">
        <w:rPr>
          <w:rFonts w:cs="Times New Roman"/>
          <w:bCs/>
          <w:sz w:val="24"/>
          <w:szCs w:val="24"/>
        </w:rPr>
        <w:t xml:space="preserve"> </w:t>
      </w:r>
      <w:r w:rsidR="003F37A0" w:rsidRPr="003F37A0">
        <w:rPr>
          <w:rFonts w:cs="Times New Roman"/>
          <w:bCs/>
          <w:sz w:val="24"/>
          <w:szCs w:val="24"/>
        </w:rPr>
        <w:t>Kondo, M.; Hohl, B.; Han, S.; Branas, C. 2016</w:t>
      </w:r>
      <w:r w:rsidR="00A644B3">
        <w:rPr>
          <w:rFonts w:cs="Times New Roman"/>
          <w:bCs/>
          <w:sz w:val="24"/>
          <w:szCs w:val="24"/>
        </w:rPr>
        <w:t xml:space="preserve">  </w:t>
      </w:r>
      <w:r w:rsidRPr="003F37A0">
        <w:rPr>
          <w:rFonts w:cs="Times New Roman"/>
          <w:bCs/>
          <w:i/>
          <w:sz w:val="24"/>
          <w:szCs w:val="24"/>
        </w:rPr>
        <w:t>Urban Studies</w:t>
      </w:r>
      <w:r w:rsidRPr="001A3666">
        <w:rPr>
          <w:rFonts w:cs="Times New Roman"/>
          <w:bCs/>
          <w:sz w:val="24"/>
          <w:szCs w:val="24"/>
        </w:rPr>
        <w:t>, Vol. 53(15): 17 pages.: 3279-3295.</w:t>
      </w:r>
    </w:p>
    <w:p w:rsidR="001A3666" w:rsidRDefault="001A3666" w:rsidP="001A3666">
      <w:pPr>
        <w:autoSpaceDE w:val="0"/>
        <w:autoSpaceDN w:val="0"/>
        <w:adjustRightInd w:val="0"/>
        <w:spacing w:after="0" w:line="240" w:lineRule="auto"/>
        <w:rPr>
          <w:rFonts w:cs="Times New Roman"/>
          <w:bCs/>
          <w:sz w:val="24"/>
          <w:szCs w:val="24"/>
        </w:rPr>
      </w:pPr>
    </w:p>
    <w:p w:rsidR="009F334C" w:rsidRDefault="009F334C" w:rsidP="009F334C">
      <w:pPr>
        <w:autoSpaceDE w:val="0"/>
        <w:autoSpaceDN w:val="0"/>
        <w:adjustRightInd w:val="0"/>
        <w:spacing w:after="0" w:line="240" w:lineRule="auto"/>
        <w:rPr>
          <w:rFonts w:cs="Times New Roman"/>
          <w:bCs/>
          <w:sz w:val="24"/>
          <w:szCs w:val="24"/>
        </w:rPr>
      </w:pPr>
      <w:r>
        <w:rPr>
          <w:rFonts w:cs="Times New Roman"/>
          <w:bCs/>
          <w:sz w:val="24"/>
          <w:szCs w:val="24"/>
        </w:rPr>
        <w:t xml:space="preserve">Summary: </w:t>
      </w:r>
      <w:r w:rsidRPr="009F334C">
        <w:rPr>
          <w:rFonts w:cs="Times New Roman"/>
          <w:bCs/>
          <w:sz w:val="24"/>
          <w:szCs w:val="24"/>
        </w:rPr>
        <w:t>The Youngstown Neighborhood Development Corporation initi</w:t>
      </w:r>
      <w:r>
        <w:rPr>
          <w:rFonts w:cs="Times New Roman"/>
          <w:bCs/>
          <w:sz w:val="24"/>
          <w:szCs w:val="24"/>
        </w:rPr>
        <w:t>ated a ‘Lots of Green’ program</w:t>
      </w:r>
      <w:r w:rsidRPr="009F334C">
        <w:rPr>
          <w:rFonts w:cs="Times New Roman"/>
          <w:bCs/>
          <w:sz w:val="24"/>
          <w:szCs w:val="24"/>
        </w:rPr>
        <w:t xml:space="preserve"> to reuse vacant land in 2010. We performed a difference-in-differences analysis of the effects of this program on crime in and around newly treated lots, in comparison to crimes in and around randomly selected and matched, untreated vacant lot controls. The effects of two types of vacant lot treatments on crime were tested: a cleaning and greening ‘stabilization’ treatment and a ‘community reuse’ treatment mostly involving community gardens. The combined effects of both types of vacant lot treatments were also tested. After adjustment for various sociodemographic factors, linear and Poisson regression models demonstrated statistically significant reductions in all crime classes for at least one lot treatment type. Regression models adjusted for spatial autocorrelation found the most consistent significant reductions in burglaries around stabilization lots, and in assaults around community reuse lots. Spill-over crime reduction effects were found in contiguous areas around newly treated lots. Significant increases in motor vehicle thefts around both types of lots were also found after they had been greened. Community-initiated vacant lot greening may have a greater impact on reducing more serious, violent crimes.</w:t>
      </w:r>
    </w:p>
    <w:p w:rsidR="009F334C" w:rsidRDefault="009F334C" w:rsidP="001A3666">
      <w:pPr>
        <w:autoSpaceDE w:val="0"/>
        <w:autoSpaceDN w:val="0"/>
        <w:adjustRightInd w:val="0"/>
        <w:spacing w:after="0" w:line="360" w:lineRule="auto"/>
        <w:rPr>
          <w:rFonts w:cs="Times New Roman"/>
          <w:bCs/>
          <w:sz w:val="24"/>
          <w:szCs w:val="24"/>
        </w:rPr>
      </w:pPr>
    </w:p>
    <w:p w:rsidR="009F334C" w:rsidRDefault="009F334C" w:rsidP="001A3666">
      <w:pPr>
        <w:autoSpaceDE w:val="0"/>
        <w:autoSpaceDN w:val="0"/>
        <w:adjustRightInd w:val="0"/>
        <w:spacing w:after="0" w:line="360" w:lineRule="auto"/>
        <w:rPr>
          <w:rFonts w:cs="Times New Roman"/>
          <w:bCs/>
          <w:sz w:val="24"/>
          <w:szCs w:val="24"/>
        </w:rPr>
      </w:pPr>
    </w:p>
    <w:p w:rsidR="009F334C" w:rsidRPr="009F334C" w:rsidRDefault="009F334C" w:rsidP="001A3666">
      <w:pPr>
        <w:autoSpaceDE w:val="0"/>
        <w:autoSpaceDN w:val="0"/>
        <w:adjustRightInd w:val="0"/>
        <w:spacing w:after="0" w:line="360" w:lineRule="auto"/>
        <w:rPr>
          <w:rFonts w:cs="Times New Roman"/>
          <w:bCs/>
          <w:sz w:val="24"/>
          <w:szCs w:val="24"/>
          <w:u w:val="single"/>
        </w:rPr>
      </w:pPr>
      <w:r w:rsidRPr="009F334C">
        <w:rPr>
          <w:rFonts w:cs="Times New Roman"/>
          <w:bCs/>
          <w:sz w:val="24"/>
          <w:szCs w:val="24"/>
          <w:u w:val="single"/>
        </w:rPr>
        <w:lastRenderedPageBreak/>
        <w:t>Land Care program, Philadelphia, PA</w:t>
      </w:r>
    </w:p>
    <w:p w:rsidR="001A3666" w:rsidRPr="00D2207E" w:rsidRDefault="00D2207E" w:rsidP="001A3666">
      <w:pPr>
        <w:autoSpaceDE w:val="0"/>
        <w:autoSpaceDN w:val="0"/>
        <w:adjustRightInd w:val="0"/>
        <w:spacing w:after="0" w:line="360" w:lineRule="auto"/>
        <w:rPr>
          <w:rFonts w:cs="Times New Roman"/>
          <w:bCs/>
          <w:sz w:val="24"/>
          <w:szCs w:val="24"/>
        </w:rPr>
      </w:pPr>
      <w:r w:rsidRPr="00D2207E">
        <w:rPr>
          <w:rFonts w:cs="Times New Roman"/>
          <w:bCs/>
          <w:sz w:val="24"/>
          <w:szCs w:val="24"/>
        </w:rPr>
        <w:t>Example of economic impact of transformation of vacant land -</w:t>
      </w:r>
    </w:p>
    <w:p w:rsidR="00516341" w:rsidRPr="003F37A0" w:rsidRDefault="001A3666" w:rsidP="00516341">
      <w:pPr>
        <w:autoSpaceDE w:val="0"/>
        <w:autoSpaceDN w:val="0"/>
        <w:adjustRightInd w:val="0"/>
        <w:spacing w:after="0" w:line="240" w:lineRule="auto"/>
        <w:rPr>
          <w:rFonts w:cs="Times New Roman"/>
          <w:bCs/>
          <w:sz w:val="24"/>
          <w:szCs w:val="24"/>
        </w:rPr>
      </w:pPr>
      <w:r w:rsidRPr="00516341">
        <w:rPr>
          <w:rFonts w:cs="Times New Roman"/>
          <w:bCs/>
          <w:sz w:val="24"/>
          <w:szCs w:val="24"/>
        </w:rPr>
        <w:t xml:space="preserve">“Philadelphia Horticultural Society Land Care Program works with the City of Philadelphia to address the problem of vacant land, a serious blight that depresses community property values. To date, more than 3,000 lots, once vacant, abandoned, and blighted as a result of persistent illegal dumping, are now clean and green spaces with lawns and trees that are maintained on a regular basis. The goal is to turn former liabilities into new community assets. The work of Land Care (Philadelphia Green) is having a significant economic impact on real estate values. In two recent studies by the University of Pennsylvania’s Wharton School, research indicates that planting street trees increases the value of adjacent homes by nearly 10 percent. And the cleaning and greening of vacant lots has a much larger impact—increasing the value of nearby </w:t>
      </w:r>
      <w:r w:rsidRPr="003F37A0">
        <w:rPr>
          <w:rFonts w:cs="Times New Roman"/>
          <w:bCs/>
          <w:sz w:val="24"/>
          <w:szCs w:val="24"/>
        </w:rPr>
        <w:t>homes by at least 30 percent. Clearly, quality open space in our urban environments is a wise investment.”</w:t>
      </w:r>
    </w:p>
    <w:p w:rsidR="001A3666" w:rsidRPr="003F37A0" w:rsidRDefault="00C36A00" w:rsidP="00516341">
      <w:pPr>
        <w:autoSpaceDE w:val="0"/>
        <w:autoSpaceDN w:val="0"/>
        <w:adjustRightInd w:val="0"/>
        <w:spacing w:after="0" w:line="240" w:lineRule="auto"/>
        <w:rPr>
          <w:rFonts w:cs="Times New Roman"/>
          <w:bCs/>
          <w:sz w:val="24"/>
          <w:szCs w:val="24"/>
        </w:rPr>
      </w:pPr>
      <w:hyperlink r:id="rId7" w:history="1">
        <w:r w:rsidR="001A3666" w:rsidRPr="003F37A0">
          <w:rPr>
            <w:rStyle w:val="Hyperlink"/>
            <w:rFonts w:cs="Times New Roman"/>
            <w:bCs/>
            <w:sz w:val="24"/>
            <w:szCs w:val="24"/>
          </w:rPr>
          <w:t>https://phsonline.org/programs/landcare-program</w:t>
        </w:r>
      </w:hyperlink>
    </w:p>
    <w:p w:rsidR="000F5248" w:rsidRPr="003F37A0" w:rsidRDefault="000F5248" w:rsidP="000F5248">
      <w:pPr>
        <w:autoSpaceDE w:val="0"/>
        <w:autoSpaceDN w:val="0"/>
        <w:adjustRightInd w:val="0"/>
        <w:spacing w:after="0" w:line="360" w:lineRule="auto"/>
        <w:rPr>
          <w:sz w:val="24"/>
          <w:szCs w:val="24"/>
        </w:rPr>
      </w:pPr>
      <w:r w:rsidRPr="003F37A0">
        <w:rPr>
          <w:sz w:val="24"/>
          <w:szCs w:val="24"/>
        </w:rPr>
        <w:t xml:space="preserve"> </w:t>
      </w:r>
    </w:p>
    <w:p w:rsidR="000F5248" w:rsidRPr="003F37A0" w:rsidRDefault="003F37A0" w:rsidP="003F37A0">
      <w:pPr>
        <w:autoSpaceDE w:val="0"/>
        <w:autoSpaceDN w:val="0"/>
        <w:adjustRightInd w:val="0"/>
        <w:spacing w:after="0" w:line="240" w:lineRule="auto"/>
        <w:rPr>
          <w:sz w:val="24"/>
          <w:szCs w:val="24"/>
        </w:rPr>
      </w:pPr>
      <w:r w:rsidRPr="003F37A0">
        <w:rPr>
          <w:sz w:val="24"/>
          <w:szCs w:val="24"/>
          <w:u w:val="single"/>
        </w:rPr>
        <w:t>What Is a Tree Worth? Green-City Strategies, Signaling and Housing Prices</w:t>
      </w:r>
      <w:r w:rsidRPr="003F37A0">
        <w:rPr>
          <w:sz w:val="24"/>
          <w:szCs w:val="24"/>
        </w:rPr>
        <w:t xml:space="preserve">, </w:t>
      </w:r>
      <w:r w:rsidR="000F5248" w:rsidRPr="003F37A0">
        <w:rPr>
          <w:sz w:val="24"/>
          <w:szCs w:val="24"/>
        </w:rPr>
        <w:t xml:space="preserve">Wachter, Susan M. and Grace Wong, 2008. </w:t>
      </w:r>
      <w:r w:rsidR="000F5248" w:rsidRPr="003F37A0">
        <w:rPr>
          <w:i/>
          <w:sz w:val="24"/>
          <w:szCs w:val="24"/>
        </w:rPr>
        <w:t>Real Estate Economics</w:t>
      </w:r>
      <w:r w:rsidR="000F5248" w:rsidRPr="003F37A0">
        <w:rPr>
          <w:sz w:val="24"/>
          <w:szCs w:val="24"/>
        </w:rPr>
        <w:t>, American Real Estate and Urban Economics Association, vol. 36(2), 213-239, 06.</w:t>
      </w:r>
    </w:p>
    <w:p w:rsidR="009F334C" w:rsidRDefault="009F334C" w:rsidP="009F334C">
      <w:pPr>
        <w:autoSpaceDE w:val="0"/>
        <w:autoSpaceDN w:val="0"/>
        <w:adjustRightInd w:val="0"/>
        <w:spacing w:after="0" w:line="360" w:lineRule="auto"/>
        <w:rPr>
          <w:sz w:val="24"/>
          <w:szCs w:val="24"/>
        </w:rPr>
      </w:pPr>
    </w:p>
    <w:p w:rsidR="009F334C" w:rsidRDefault="009F334C" w:rsidP="009F334C">
      <w:pPr>
        <w:autoSpaceDE w:val="0"/>
        <w:autoSpaceDN w:val="0"/>
        <w:adjustRightInd w:val="0"/>
        <w:spacing w:after="0" w:line="240" w:lineRule="auto"/>
        <w:rPr>
          <w:sz w:val="24"/>
          <w:szCs w:val="24"/>
        </w:rPr>
      </w:pPr>
      <w:r>
        <w:rPr>
          <w:sz w:val="24"/>
          <w:szCs w:val="24"/>
        </w:rPr>
        <w:t xml:space="preserve">Summary:  </w:t>
      </w:r>
      <w:r w:rsidRPr="009F334C">
        <w:rPr>
          <w:sz w:val="24"/>
          <w:szCs w:val="24"/>
        </w:rPr>
        <w:t>We investigate the correlation between curbside tree plantings and housing price movements in Philadelphia from 1998 to 2003, comparing two programs, one by the Philadelphia Horticultural Society (PHS) that requires block-group effort that focuses on low-income neighborhoods and the other by the Fairmount Park Commission that is individual-based without specific target areas. A 7 to 11% price differential is identified within 4,000 feet of the Fairmount tree plantings. We argue that this is largely driven by either social capital creation or a signaling mechanism, on top of an intrinsic tree value (around 2%). Findings using the PHS tree program suggest that development of social capital or environmentally conscious behavior might be a less important channel. Any positive changes brought by the PHS tree plantings were not detected with sufficient statistical power.</w:t>
      </w:r>
    </w:p>
    <w:p w:rsidR="009F334C" w:rsidRDefault="009F334C" w:rsidP="001A3666">
      <w:pPr>
        <w:autoSpaceDE w:val="0"/>
        <w:autoSpaceDN w:val="0"/>
        <w:adjustRightInd w:val="0"/>
        <w:spacing w:after="0" w:line="360" w:lineRule="auto"/>
        <w:rPr>
          <w:sz w:val="24"/>
          <w:szCs w:val="24"/>
        </w:rPr>
      </w:pPr>
    </w:p>
    <w:p w:rsidR="001A3666" w:rsidRPr="003F37A0" w:rsidRDefault="00C36A00" w:rsidP="001A3666">
      <w:pPr>
        <w:autoSpaceDE w:val="0"/>
        <w:autoSpaceDN w:val="0"/>
        <w:adjustRightInd w:val="0"/>
        <w:spacing w:after="0" w:line="360" w:lineRule="auto"/>
        <w:rPr>
          <w:rFonts w:cs="Times New Roman"/>
          <w:bCs/>
          <w:sz w:val="24"/>
          <w:szCs w:val="24"/>
        </w:rPr>
      </w:pPr>
      <w:hyperlink r:id="rId8" w:history="1"/>
      <w:r w:rsidR="000F5248" w:rsidRPr="003F37A0">
        <w:rPr>
          <w:rStyle w:val="Hyperlink"/>
          <w:rFonts w:cs="Times New Roman"/>
          <w:bCs/>
          <w:sz w:val="24"/>
          <w:szCs w:val="24"/>
        </w:rPr>
        <w:t xml:space="preserve"> </w:t>
      </w:r>
    </w:p>
    <w:p w:rsidR="009E6CDA" w:rsidRPr="003F37A0" w:rsidRDefault="009E6CDA" w:rsidP="009E6CDA">
      <w:pPr>
        <w:autoSpaceDE w:val="0"/>
        <w:autoSpaceDN w:val="0"/>
        <w:adjustRightInd w:val="0"/>
        <w:spacing w:after="0" w:line="240" w:lineRule="auto"/>
        <w:rPr>
          <w:rFonts w:cs="Times New Roman"/>
          <w:bCs/>
          <w:sz w:val="24"/>
          <w:szCs w:val="24"/>
        </w:rPr>
      </w:pPr>
      <w:r w:rsidRPr="003F37A0">
        <w:rPr>
          <w:rFonts w:cs="Times New Roman"/>
          <w:bCs/>
          <w:sz w:val="24"/>
          <w:szCs w:val="24"/>
          <w:u w:val="single"/>
        </w:rPr>
        <w:t>Valuing the Conversion of Urban Greenspace</w:t>
      </w:r>
      <w:r w:rsidR="003F37A0" w:rsidRPr="003F37A0">
        <w:rPr>
          <w:rFonts w:cs="Times New Roman"/>
          <w:bCs/>
          <w:sz w:val="24"/>
          <w:szCs w:val="24"/>
          <w:u w:val="single"/>
        </w:rPr>
        <w:t xml:space="preserve"> </w:t>
      </w:r>
      <w:r w:rsidRPr="003F37A0">
        <w:rPr>
          <w:rFonts w:cs="Times New Roman"/>
          <w:bCs/>
          <w:sz w:val="24"/>
          <w:szCs w:val="24"/>
        </w:rPr>
        <w:t>Grace W. Bucchianeri, Kevin C. Gillen, and Susan M. Wachter</w:t>
      </w:r>
      <w:r w:rsidR="003F37A0" w:rsidRPr="003F37A0">
        <w:rPr>
          <w:rFonts w:cs="Times New Roman"/>
          <w:bCs/>
          <w:sz w:val="24"/>
          <w:szCs w:val="24"/>
        </w:rPr>
        <w:t xml:space="preserve">, </w:t>
      </w:r>
      <w:r w:rsidRPr="003F37A0">
        <w:rPr>
          <w:rFonts w:cs="Times New Roman"/>
          <w:bCs/>
          <w:i/>
          <w:sz w:val="24"/>
          <w:szCs w:val="24"/>
        </w:rPr>
        <w:t>Prudential Financial Inc</w:t>
      </w:r>
      <w:r w:rsidRPr="003F37A0">
        <w:rPr>
          <w:rFonts w:cs="Times New Roman"/>
          <w:bCs/>
          <w:sz w:val="24"/>
          <w:szCs w:val="24"/>
        </w:rPr>
        <w:t>., University of Pennsylvania</w:t>
      </w:r>
      <w:r w:rsidR="00516341" w:rsidRPr="003F37A0">
        <w:rPr>
          <w:rFonts w:cs="Times New Roman"/>
          <w:bCs/>
          <w:sz w:val="24"/>
          <w:szCs w:val="24"/>
        </w:rPr>
        <w:t xml:space="preserve">, </w:t>
      </w:r>
      <w:r w:rsidRPr="003F37A0">
        <w:rPr>
          <w:rFonts w:cs="Times New Roman"/>
          <w:bCs/>
          <w:sz w:val="24"/>
          <w:szCs w:val="24"/>
        </w:rPr>
        <w:t>June 2012</w:t>
      </w:r>
    </w:p>
    <w:p w:rsidR="001A3666" w:rsidRDefault="001A3666" w:rsidP="001A3666">
      <w:pPr>
        <w:autoSpaceDE w:val="0"/>
        <w:autoSpaceDN w:val="0"/>
        <w:adjustRightInd w:val="0"/>
        <w:spacing w:after="0" w:line="240" w:lineRule="auto"/>
        <w:rPr>
          <w:rFonts w:cs="Times New Roman"/>
          <w:bCs/>
          <w:sz w:val="24"/>
          <w:szCs w:val="24"/>
        </w:rPr>
      </w:pPr>
    </w:p>
    <w:p w:rsidR="005A5A0D" w:rsidRDefault="009F334C" w:rsidP="001A3666">
      <w:pPr>
        <w:autoSpaceDE w:val="0"/>
        <w:autoSpaceDN w:val="0"/>
        <w:adjustRightInd w:val="0"/>
        <w:spacing w:after="0" w:line="240" w:lineRule="auto"/>
        <w:rPr>
          <w:rFonts w:cs="Times New Roman"/>
          <w:bCs/>
          <w:sz w:val="24"/>
          <w:szCs w:val="24"/>
        </w:rPr>
      </w:pPr>
      <w:r>
        <w:rPr>
          <w:rFonts w:cs="Times New Roman"/>
          <w:bCs/>
          <w:sz w:val="24"/>
          <w:szCs w:val="24"/>
        </w:rPr>
        <w:t>Summary</w:t>
      </w:r>
      <w:r w:rsidR="005A5A0D">
        <w:rPr>
          <w:rFonts w:cs="Times New Roman"/>
          <w:bCs/>
          <w:sz w:val="24"/>
          <w:szCs w:val="24"/>
        </w:rPr>
        <w:t xml:space="preserve">: </w:t>
      </w:r>
      <w:r w:rsidR="005A5A0D" w:rsidRPr="005A5A0D">
        <w:rPr>
          <w:rFonts w:cs="Times New Roman"/>
          <w:bCs/>
          <w:sz w:val="24"/>
          <w:szCs w:val="24"/>
        </w:rPr>
        <w:t xml:space="preserve">The authors examine if the conversion of vacant land and/or land with abandoned properties to maintained urban green space and gardens is valued by local residents, as measured by any spillover effects on nearby residential property values. Using a time series of home sales in Philadelphia, a city with a significant inventory of vacant/abandoned parcels, the authors find that the local presence of a vacant property is associated with nearby homes being worth an average of nearly 16% less than comparable dwellings in these neighborhoods. Following conversion of a vacant lot to maintained green space, nearby homes are estimated to </w:t>
      </w:r>
      <w:r w:rsidR="005A5A0D" w:rsidRPr="005A5A0D">
        <w:rPr>
          <w:rFonts w:cs="Times New Roman"/>
          <w:bCs/>
          <w:sz w:val="24"/>
          <w:szCs w:val="24"/>
        </w:rPr>
        <w:lastRenderedPageBreak/>
        <w:t>command a premium of 2% to 5%; a total gain in value of 18% to 21%. Affected households experienced a median gain of $34,468 in housing wealth after five years. From a fiscal perspective, it is estimated that every dollar spent to clean and green a vacant lot yields additional property tax revenues of $7.43.</w:t>
      </w:r>
    </w:p>
    <w:p w:rsidR="005A5A0D" w:rsidRPr="003F37A0" w:rsidRDefault="005A5A0D" w:rsidP="001A3666">
      <w:pPr>
        <w:autoSpaceDE w:val="0"/>
        <w:autoSpaceDN w:val="0"/>
        <w:adjustRightInd w:val="0"/>
        <w:spacing w:after="0" w:line="240" w:lineRule="auto"/>
        <w:rPr>
          <w:rFonts w:cs="Times New Roman"/>
          <w:bCs/>
          <w:sz w:val="24"/>
          <w:szCs w:val="24"/>
        </w:rPr>
      </w:pPr>
    </w:p>
    <w:p w:rsidR="001A3666" w:rsidRDefault="00516341" w:rsidP="00516341">
      <w:pPr>
        <w:autoSpaceDE w:val="0"/>
        <w:autoSpaceDN w:val="0"/>
        <w:adjustRightInd w:val="0"/>
        <w:spacing w:after="0" w:line="240" w:lineRule="auto"/>
        <w:rPr>
          <w:rFonts w:cs="Times New Roman"/>
          <w:bCs/>
          <w:sz w:val="24"/>
          <w:szCs w:val="24"/>
        </w:rPr>
      </w:pPr>
      <w:r w:rsidRPr="003F37A0">
        <w:rPr>
          <w:rFonts w:cs="Times New Roman"/>
          <w:bCs/>
          <w:sz w:val="24"/>
          <w:szCs w:val="24"/>
          <w:u w:val="single"/>
        </w:rPr>
        <w:t>REO &amp; Vacant Properties : Strategies for Neighborhood stabilization</w:t>
      </w:r>
      <w:r w:rsidR="003F37A0">
        <w:rPr>
          <w:rFonts w:cs="Times New Roman"/>
          <w:bCs/>
          <w:sz w:val="24"/>
          <w:szCs w:val="24"/>
          <w:u w:val="single"/>
        </w:rPr>
        <w:t xml:space="preserve"> </w:t>
      </w:r>
      <w:r w:rsidRPr="00516341">
        <w:rPr>
          <w:rFonts w:cs="Times New Roman"/>
          <w:bCs/>
          <w:sz w:val="24"/>
          <w:szCs w:val="24"/>
        </w:rPr>
        <w:t>A Joint Publication of the Federal Reserve Banks of Boston and Cleveland and the Federal Reserve Board, 2010.</w:t>
      </w:r>
    </w:p>
    <w:p w:rsidR="001A3666" w:rsidRDefault="001A3666" w:rsidP="001A3666">
      <w:pPr>
        <w:autoSpaceDE w:val="0"/>
        <w:autoSpaceDN w:val="0"/>
        <w:adjustRightInd w:val="0"/>
        <w:spacing w:after="0" w:line="240" w:lineRule="auto"/>
        <w:rPr>
          <w:rFonts w:cs="Times New Roman"/>
          <w:bCs/>
          <w:sz w:val="24"/>
          <w:szCs w:val="24"/>
        </w:rPr>
      </w:pPr>
    </w:p>
    <w:p w:rsidR="005A5A0D" w:rsidRDefault="005A5A0D" w:rsidP="003F37A0">
      <w:pPr>
        <w:autoSpaceDE w:val="0"/>
        <w:autoSpaceDN w:val="0"/>
        <w:adjustRightInd w:val="0"/>
        <w:spacing w:after="0" w:line="240" w:lineRule="auto"/>
        <w:rPr>
          <w:color w:val="2A2A2A"/>
          <w:sz w:val="24"/>
          <w:szCs w:val="24"/>
          <w:u w:val="single"/>
          <w:shd w:val="clear" w:color="auto" w:fill="EFF2F7"/>
        </w:rPr>
      </w:pPr>
    </w:p>
    <w:p w:rsidR="005A5A0D" w:rsidRDefault="005A5A0D" w:rsidP="003F37A0">
      <w:pPr>
        <w:autoSpaceDE w:val="0"/>
        <w:autoSpaceDN w:val="0"/>
        <w:adjustRightInd w:val="0"/>
        <w:spacing w:after="0" w:line="240" w:lineRule="auto"/>
        <w:rPr>
          <w:color w:val="2A2A2A"/>
          <w:sz w:val="24"/>
          <w:szCs w:val="24"/>
          <w:u w:val="single"/>
          <w:shd w:val="clear" w:color="auto" w:fill="EFF2F7"/>
        </w:rPr>
      </w:pPr>
    </w:p>
    <w:p w:rsidR="005A5A0D" w:rsidRDefault="005A5A0D" w:rsidP="003F37A0">
      <w:pPr>
        <w:autoSpaceDE w:val="0"/>
        <w:autoSpaceDN w:val="0"/>
        <w:adjustRightInd w:val="0"/>
        <w:spacing w:after="0" w:line="240" w:lineRule="auto"/>
        <w:rPr>
          <w:color w:val="2A2A2A"/>
          <w:sz w:val="24"/>
          <w:szCs w:val="24"/>
          <w:u w:val="single"/>
          <w:shd w:val="clear" w:color="auto" w:fill="EFF2F7"/>
        </w:rPr>
      </w:pPr>
    </w:p>
    <w:p w:rsidR="003F37A0" w:rsidRPr="003F37A0" w:rsidRDefault="003F37A0" w:rsidP="003F37A0">
      <w:pPr>
        <w:autoSpaceDE w:val="0"/>
        <w:autoSpaceDN w:val="0"/>
        <w:adjustRightInd w:val="0"/>
        <w:spacing w:after="0" w:line="240" w:lineRule="auto"/>
        <w:rPr>
          <w:color w:val="2A2A2A"/>
          <w:sz w:val="24"/>
          <w:szCs w:val="24"/>
          <w:shd w:val="clear" w:color="auto" w:fill="EFF2F7"/>
        </w:rPr>
      </w:pPr>
      <w:r w:rsidRPr="003F37A0">
        <w:rPr>
          <w:color w:val="2A2A2A"/>
          <w:sz w:val="24"/>
          <w:szCs w:val="24"/>
          <w:u w:val="single"/>
          <w:shd w:val="clear" w:color="auto" w:fill="EFF2F7"/>
        </w:rPr>
        <w:t>A Difference-in-Differences Analysis of Health, Safety, and Greening Vacant Urban Space</w:t>
      </w:r>
      <w:r w:rsidRPr="003F37A0">
        <w:rPr>
          <w:color w:val="2A2A2A"/>
          <w:sz w:val="24"/>
          <w:szCs w:val="24"/>
          <w:shd w:val="clear" w:color="auto" w:fill="EFF2F7"/>
        </w:rPr>
        <w:t xml:space="preserve">, Charles C. Branas, Rose A. Cheney, John M. MacDonald; Vicky W. Tam;  Tara D. Jackson; Thomas R. Ten Have, </w:t>
      </w:r>
      <w:r w:rsidRPr="003F37A0">
        <w:rPr>
          <w:i/>
          <w:color w:val="2A2A2A"/>
          <w:sz w:val="24"/>
          <w:szCs w:val="24"/>
          <w:shd w:val="clear" w:color="auto" w:fill="EFF2F7"/>
        </w:rPr>
        <w:t>American Journal of Epidemiology</w:t>
      </w:r>
      <w:r w:rsidRPr="003F37A0">
        <w:rPr>
          <w:color w:val="2A2A2A"/>
          <w:sz w:val="24"/>
          <w:szCs w:val="24"/>
          <w:shd w:val="clear" w:color="auto" w:fill="EFF2F7"/>
        </w:rPr>
        <w:t xml:space="preserve"> (2011) 174 (11): 1296-1306. </w:t>
      </w:r>
    </w:p>
    <w:p w:rsidR="005A5A0D" w:rsidRDefault="005A5A0D" w:rsidP="003F37A0">
      <w:pPr>
        <w:autoSpaceDE w:val="0"/>
        <w:autoSpaceDN w:val="0"/>
        <w:adjustRightInd w:val="0"/>
        <w:spacing w:after="0" w:line="240" w:lineRule="auto"/>
        <w:rPr>
          <w:color w:val="2A2A2A"/>
          <w:sz w:val="24"/>
          <w:szCs w:val="24"/>
          <w:shd w:val="clear" w:color="auto" w:fill="EFF2F7"/>
        </w:rPr>
      </w:pPr>
    </w:p>
    <w:p w:rsidR="00516341" w:rsidRPr="003F37A0" w:rsidRDefault="009F334C" w:rsidP="003F37A0">
      <w:pPr>
        <w:autoSpaceDE w:val="0"/>
        <w:autoSpaceDN w:val="0"/>
        <w:adjustRightInd w:val="0"/>
        <w:spacing w:after="0" w:line="240" w:lineRule="auto"/>
        <w:rPr>
          <w:rFonts w:cs="Times New Roman"/>
          <w:bCs/>
          <w:sz w:val="24"/>
          <w:szCs w:val="24"/>
        </w:rPr>
      </w:pPr>
      <w:r>
        <w:rPr>
          <w:color w:val="2A2A2A"/>
          <w:sz w:val="24"/>
          <w:szCs w:val="24"/>
          <w:shd w:val="clear" w:color="auto" w:fill="EFF2F7"/>
        </w:rPr>
        <w:t>Summary</w:t>
      </w:r>
      <w:r w:rsidR="005A5A0D">
        <w:rPr>
          <w:color w:val="2A2A2A"/>
          <w:sz w:val="24"/>
          <w:szCs w:val="24"/>
          <w:shd w:val="clear" w:color="auto" w:fill="EFF2F7"/>
        </w:rPr>
        <w:t xml:space="preserve">: </w:t>
      </w:r>
      <w:r w:rsidR="00516341" w:rsidRPr="003F37A0">
        <w:rPr>
          <w:color w:val="2A2A2A"/>
          <w:sz w:val="24"/>
          <w:szCs w:val="24"/>
          <w:shd w:val="clear" w:color="auto" w:fill="EFF2F7"/>
        </w:rPr>
        <w:t>Greening of vacant urban land may affect health and safety. The authors conducted a decade-long difference-in-differences analysis of the impact of a vacant lot greening program in Philadelphia, Pennsylvania, on health and safety outcomes. “Before” and “after” outcome differences among treated vacant lots were compared with matched groups of control vacant lots that were eligible but did not receive treatment. Control lots from 2 eligibility pools were randomly selected and matched to treated lots at a 3:1 ratio by city section. Random-effects regression models were fitted, along with alternative models and robustness checks. Across 4 sections of Philadelphia, 4,436 vacant lots totaling over 7.8 million square feet (about 725,000 m</w:t>
      </w:r>
      <w:r w:rsidR="00516341" w:rsidRPr="003F37A0">
        <w:rPr>
          <w:rFonts w:cs="Arial"/>
          <w:color w:val="2A2A2A"/>
          <w:sz w:val="24"/>
          <w:szCs w:val="24"/>
          <w:bdr w:val="none" w:sz="0" w:space="0" w:color="auto" w:frame="1"/>
          <w:shd w:val="clear" w:color="auto" w:fill="EFF2F7"/>
          <w:vertAlign w:val="superscript"/>
        </w:rPr>
        <w:t>2</w:t>
      </w:r>
      <w:r w:rsidR="00516341" w:rsidRPr="003F37A0">
        <w:rPr>
          <w:color w:val="2A2A2A"/>
          <w:sz w:val="24"/>
          <w:szCs w:val="24"/>
          <w:shd w:val="clear" w:color="auto" w:fill="EFF2F7"/>
        </w:rPr>
        <w:t>) were greened from 1999 to 2008. Regression-adjusted estimates showed that vacant lot greening was associated with consistent reductions in gun assaults across all 4 sections of the city (</w:t>
      </w:r>
      <w:r w:rsidR="00516341" w:rsidRPr="003F37A0">
        <w:rPr>
          <w:rStyle w:val="Emphasis"/>
          <w:color w:val="2A2A2A"/>
          <w:sz w:val="24"/>
          <w:szCs w:val="24"/>
          <w:bdr w:val="none" w:sz="0" w:space="0" w:color="auto" w:frame="1"/>
          <w:shd w:val="clear" w:color="auto" w:fill="EFF2F7"/>
        </w:rPr>
        <w:t>P</w:t>
      </w:r>
      <w:r w:rsidR="00516341" w:rsidRPr="003F37A0">
        <w:rPr>
          <w:rStyle w:val="apple-converted-space"/>
          <w:color w:val="2A2A2A"/>
          <w:sz w:val="24"/>
          <w:szCs w:val="24"/>
          <w:shd w:val="clear" w:color="auto" w:fill="EFF2F7"/>
        </w:rPr>
        <w:t> </w:t>
      </w:r>
      <w:r w:rsidR="00516341" w:rsidRPr="003F37A0">
        <w:rPr>
          <w:color w:val="2A2A2A"/>
          <w:sz w:val="24"/>
          <w:szCs w:val="24"/>
          <w:shd w:val="clear" w:color="auto" w:fill="EFF2F7"/>
        </w:rPr>
        <w:t>&lt; 0.001) and consistent reductions in vandalism in 1 section of the city (</w:t>
      </w:r>
      <w:r w:rsidR="00516341" w:rsidRPr="003F37A0">
        <w:rPr>
          <w:rStyle w:val="Emphasis"/>
          <w:color w:val="2A2A2A"/>
          <w:sz w:val="24"/>
          <w:szCs w:val="24"/>
          <w:bdr w:val="none" w:sz="0" w:space="0" w:color="auto" w:frame="1"/>
          <w:shd w:val="clear" w:color="auto" w:fill="EFF2F7"/>
        </w:rPr>
        <w:t>P</w:t>
      </w:r>
      <w:r w:rsidR="00516341" w:rsidRPr="003F37A0">
        <w:rPr>
          <w:rStyle w:val="apple-converted-space"/>
          <w:color w:val="2A2A2A"/>
          <w:sz w:val="24"/>
          <w:szCs w:val="24"/>
          <w:shd w:val="clear" w:color="auto" w:fill="EFF2F7"/>
        </w:rPr>
        <w:t> </w:t>
      </w:r>
      <w:r w:rsidR="00516341" w:rsidRPr="003F37A0">
        <w:rPr>
          <w:color w:val="2A2A2A"/>
          <w:sz w:val="24"/>
          <w:szCs w:val="24"/>
          <w:shd w:val="clear" w:color="auto" w:fill="EFF2F7"/>
        </w:rPr>
        <w:t>&lt; 0.001). Regression-adjusted estimates also showed that vacant lot greening was associated with residents’ reporting less stress and more exercise in select sections of the city (</w:t>
      </w:r>
      <w:r w:rsidR="00516341" w:rsidRPr="003F37A0">
        <w:rPr>
          <w:rStyle w:val="Emphasis"/>
          <w:color w:val="2A2A2A"/>
          <w:sz w:val="24"/>
          <w:szCs w:val="24"/>
          <w:bdr w:val="none" w:sz="0" w:space="0" w:color="auto" w:frame="1"/>
          <w:shd w:val="clear" w:color="auto" w:fill="EFF2F7"/>
        </w:rPr>
        <w:t>P</w:t>
      </w:r>
      <w:r w:rsidR="00516341" w:rsidRPr="003F37A0">
        <w:rPr>
          <w:rStyle w:val="apple-converted-space"/>
          <w:color w:val="2A2A2A"/>
          <w:sz w:val="24"/>
          <w:szCs w:val="24"/>
          <w:shd w:val="clear" w:color="auto" w:fill="EFF2F7"/>
        </w:rPr>
        <w:t> </w:t>
      </w:r>
      <w:r w:rsidR="00516341" w:rsidRPr="003F37A0">
        <w:rPr>
          <w:color w:val="2A2A2A"/>
          <w:sz w:val="24"/>
          <w:szCs w:val="24"/>
          <w:shd w:val="clear" w:color="auto" w:fill="EFF2F7"/>
        </w:rPr>
        <w:t>&lt; 0.01). Once greened, vacant lots may reduce certain crimes and promote some aspects of health. Limitations of the current study are discussed. Community-based trials are warranted to further test these findings.</w:t>
      </w:r>
    </w:p>
    <w:p w:rsidR="00516341" w:rsidRPr="003F37A0" w:rsidRDefault="00C36A00" w:rsidP="003F37A0">
      <w:pPr>
        <w:autoSpaceDE w:val="0"/>
        <w:autoSpaceDN w:val="0"/>
        <w:adjustRightInd w:val="0"/>
        <w:spacing w:after="0" w:line="240" w:lineRule="auto"/>
        <w:rPr>
          <w:rFonts w:cs="Times New Roman"/>
          <w:bCs/>
          <w:color w:val="0563C1" w:themeColor="hyperlink"/>
          <w:sz w:val="24"/>
          <w:szCs w:val="24"/>
        </w:rPr>
      </w:pPr>
      <w:hyperlink r:id="rId9" w:history="1">
        <w:r w:rsidR="00516341" w:rsidRPr="003F37A0">
          <w:rPr>
            <w:rStyle w:val="Hyperlink"/>
            <w:rFonts w:cs="Times New Roman"/>
            <w:bCs/>
            <w:sz w:val="24"/>
            <w:szCs w:val="24"/>
          </w:rPr>
          <w:t>https://academic.oup.com/aje/article/174/11/1296/111352/A-Difference-in-Differences-Analysis-of-Health</w:t>
        </w:r>
      </w:hyperlink>
    </w:p>
    <w:p w:rsidR="00516341" w:rsidRPr="003F37A0" w:rsidRDefault="00516341" w:rsidP="001A3666">
      <w:pPr>
        <w:autoSpaceDE w:val="0"/>
        <w:autoSpaceDN w:val="0"/>
        <w:adjustRightInd w:val="0"/>
        <w:spacing w:after="0" w:line="240" w:lineRule="auto"/>
        <w:rPr>
          <w:rFonts w:cs="Times New Roman"/>
          <w:bCs/>
          <w:sz w:val="24"/>
          <w:szCs w:val="24"/>
        </w:rPr>
      </w:pPr>
    </w:p>
    <w:p w:rsidR="00516341" w:rsidRPr="003F37A0" w:rsidRDefault="00516341" w:rsidP="001A3666">
      <w:pPr>
        <w:autoSpaceDE w:val="0"/>
        <w:autoSpaceDN w:val="0"/>
        <w:adjustRightInd w:val="0"/>
        <w:spacing w:after="0" w:line="240" w:lineRule="auto"/>
        <w:rPr>
          <w:rFonts w:cs="Times New Roman"/>
          <w:bCs/>
          <w:sz w:val="24"/>
          <w:szCs w:val="24"/>
        </w:rPr>
      </w:pPr>
    </w:p>
    <w:sectPr w:rsidR="00516341" w:rsidRPr="003F37A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00" w:rsidRDefault="00C36A00" w:rsidP="00E127F4">
      <w:pPr>
        <w:spacing w:after="0" w:line="240" w:lineRule="auto"/>
      </w:pPr>
      <w:r>
        <w:separator/>
      </w:r>
    </w:p>
  </w:endnote>
  <w:endnote w:type="continuationSeparator" w:id="0">
    <w:p w:rsidR="00C36A00" w:rsidRDefault="00C36A00" w:rsidP="00E1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00" w:rsidRDefault="00C36A00" w:rsidP="00E127F4">
      <w:pPr>
        <w:spacing w:after="0" w:line="240" w:lineRule="auto"/>
      </w:pPr>
      <w:r>
        <w:separator/>
      </w:r>
    </w:p>
  </w:footnote>
  <w:footnote w:type="continuationSeparator" w:id="0">
    <w:p w:rsidR="00C36A00" w:rsidRDefault="00C36A00" w:rsidP="00E1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F4" w:rsidRDefault="00E127F4">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7F4" w:rsidRDefault="00E127F4">
                          <w:pPr>
                            <w:spacing w:after="0" w:line="240" w:lineRule="auto"/>
                            <w:jc w:val="right"/>
                            <w:rPr>
                              <w:noProof/>
                            </w:rPr>
                          </w:pPr>
                          <w:r>
                            <w:rPr>
                              <w:noProof/>
                            </w:rPr>
                            <w:t>The Nature Conservancy in Alabama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127F4" w:rsidRDefault="00E127F4">
                    <w:pPr>
                      <w:spacing w:after="0" w:line="240" w:lineRule="auto"/>
                      <w:jc w:val="right"/>
                      <w:rPr>
                        <w:noProof/>
                      </w:rPr>
                    </w:pPr>
                    <w:r>
                      <w:rPr>
                        <w:noProof/>
                      </w:rPr>
                      <w:t>The Nature Conservancy in Alabama</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127F4" w:rsidRDefault="00E127F4">
                          <w:pPr>
                            <w:spacing w:after="0" w:line="240" w:lineRule="auto"/>
                            <w:rPr>
                              <w:color w:val="FFFFFF" w:themeColor="background1"/>
                            </w:rPr>
                          </w:pPr>
                          <w:r>
                            <w:fldChar w:fldCharType="begin"/>
                          </w:r>
                          <w:r>
                            <w:instrText xml:space="preserve"> PAGE   \* MERGEFORMAT </w:instrText>
                          </w:r>
                          <w:r>
                            <w:fldChar w:fldCharType="separate"/>
                          </w:r>
                          <w:r w:rsidR="000E7C0B" w:rsidRPr="000E7C0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127F4" w:rsidRDefault="00E127F4">
                    <w:pPr>
                      <w:spacing w:after="0" w:line="240" w:lineRule="auto"/>
                      <w:rPr>
                        <w:color w:val="FFFFFF" w:themeColor="background1"/>
                      </w:rPr>
                    </w:pPr>
                    <w:r>
                      <w:fldChar w:fldCharType="begin"/>
                    </w:r>
                    <w:r>
                      <w:instrText xml:space="preserve"> PAGE   \* MERGEFORMAT </w:instrText>
                    </w:r>
                    <w:r>
                      <w:fldChar w:fldCharType="separate"/>
                    </w:r>
                    <w:r w:rsidR="000E7C0B" w:rsidRPr="000E7C0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B41"/>
    <w:multiLevelType w:val="hybridMultilevel"/>
    <w:tmpl w:val="D5F0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B83"/>
    <w:multiLevelType w:val="hybridMultilevel"/>
    <w:tmpl w:val="CE703A7E"/>
    <w:lvl w:ilvl="0" w:tplc="04090003">
      <w:start w:val="1"/>
      <w:numFmt w:val="bullet"/>
      <w:lvlText w:val="o"/>
      <w:lvlJc w:val="left"/>
      <w:pPr>
        <w:ind w:left="540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F0F772A"/>
    <w:multiLevelType w:val="hybridMultilevel"/>
    <w:tmpl w:val="C106B06E"/>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02B93"/>
    <w:multiLevelType w:val="hybridMultilevel"/>
    <w:tmpl w:val="BAEA44D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1294743"/>
    <w:multiLevelType w:val="hybridMultilevel"/>
    <w:tmpl w:val="592EA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C27EC"/>
    <w:multiLevelType w:val="hybridMultilevel"/>
    <w:tmpl w:val="B37A0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193583"/>
    <w:multiLevelType w:val="hybridMultilevel"/>
    <w:tmpl w:val="4BE897B8"/>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5">
      <w:start w:val="1"/>
      <w:numFmt w:val="bullet"/>
      <w:lvlText w:val=""/>
      <w:lvlJc w:val="left"/>
      <w:pPr>
        <w:ind w:left="4680" w:hanging="360"/>
      </w:pPr>
      <w:rPr>
        <w:rFonts w:ascii="Wingdings" w:hAnsi="Wingdings"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BFA5A57"/>
    <w:multiLevelType w:val="hybridMultilevel"/>
    <w:tmpl w:val="E6608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C58C0"/>
    <w:multiLevelType w:val="hybridMultilevel"/>
    <w:tmpl w:val="D0F03420"/>
    <w:lvl w:ilvl="0" w:tplc="EE12ADAA">
      <w:start w:val="1"/>
      <w:numFmt w:val="decimal"/>
      <w:lvlText w:val="%1."/>
      <w:lvlJc w:val="left"/>
      <w:pPr>
        <w:ind w:left="720" w:hanging="360"/>
      </w:pPr>
      <w:rPr>
        <w:rFonts w:ascii="Verdana" w:hAnsi="Verdana" w:cstheme="minorBidi" w:hint="default"/>
        <w:color w:val="444444"/>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31765"/>
    <w:multiLevelType w:val="hybridMultilevel"/>
    <w:tmpl w:val="454257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EC5434"/>
    <w:multiLevelType w:val="hybridMultilevel"/>
    <w:tmpl w:val="3DA65A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D30257"/>
    <w:multiLevelType w:val="hybridMultilevel"/>
    <w:tmpl w:val="F1B8A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01000"/>
    <w:multiLevelType w:val="hybridMultilevel"/>
    <w:tmpl w:val="ED58F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F3A81"/>
    <w:multiLevelType w:val="hybridMultilevel"/>
    <w:tmpl w:val="3B5E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565DA"/>
    <w:multiLevelType w:val="hybridMultilevel"/>
    <w:tmpl w:val="2F8209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CAD2E25"/>
    <w:multiLevelType w:val="hybridMultilevel"/>
    <w:tmpl w:val="201AD68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9D1748"/>
    <w:multiLevelType w:val="hybridMultilevel"/>
    <w:tmpl w:val="290030DA"/>
    <w:lvl w:ilvl="0" w:tplc="7C28728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B523B1"/>
    <w:multiLevelType w:val="hybridMultilevel"/>
    <w:tmpl w:val="7C428FCA"/>
    <w:lvl w:ilvl="0" w:tplc="FAAE9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61DB2"/>
    <w:multiLevelType w:val="hybridMultilevel"/>
    <w:tmpl w:val="35F0A8FC"/>
    <w:lvl w:ilvl="0" w:tplc="83DE47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BD55E6"/>
    <w:multiLevelType w:val="hybridMultilevel"/>
    <w:tmpl w:val="3106036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0F53BB0"/>
    <w:multiLevelType w:val="hybridMultilevel"/>
    <w:tmpl w:val="381042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1241AC"/>
    <w:multiLevelType w:val="hybridMultilevel"/>
    <w:tmpl w:val="4D08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93842"/>
    <w:multiLevelType w:val="hybridMultilevel"/>
    <w:tmpl w:val="75B2A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0973E7"/>
    <w:multiLevelType w:val="hybridMultilevel"/>
    <w:tmpl w:val="8AF2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E7F"/>
    <w:multiLevelType w:val="hybridMultilevel"/>
    <w:tmpl w:val="D09C7AD4"/>
    <w:lvl w:ilvl="0" w:tplc="1592F5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91419E"/>
    <w:multiLevelType w:val="hybridMultilevel"/>
    <w:tmpl w:val="076AA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115F3"/>
    <w:multiLevelType w:val="hybridMultilevel"/>
    <w:tmpl w:val="628642B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A333B7E"/>
    <w:multiLevelType w:val="hybridMultilevel"/>
    <w:tmpl w:val="D41856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2BDE4704">
      <w:start w:val="1"/>
      <w:numFmt w:val="upperLetter"/>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02859"/>
    <w:multiLevelType w:val="hybridMultilevel"/>
    <w:tmpl w:val="29B696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9"/>
  </w:num>
  <w:num w:numId="4">
    <w:abstractNumId w:val="20"/>
  </w:num>
  <w:num w:numId="5">
    <w:abstractNumId w:val="15"/>
  </w:num>
  <w:num w:numId="6">
    <w:abstractNumId w:val="3"/>
  </w:num>
  <w:num w:numId="7">
    <w:abstractNumId w:val="0"/>
  </w:num>
  <w:num w:numId="8">
    <w:abstractNumId w:val="10"/>
  </w:num>
  <w:num w:numId="9">
    <w:abstractNumId w:val="25"/>
  </w:num>
  <w:num w:numId="10">
    <w:abstractNumId w:val="1"/>
  </w:num>
  <w:num w:numId="11">
    <w:abstractNumId w:val="19"/>
  </w:num>
  <w:num w:numId="12">
    <w:abstractNumId w:val="12"/>
  </w:num>
  <w:num w:numId="13">
    <w:abstractNumId w:val="27"/>
  </w:num>
  <w:num w:numId="14">
    <w:abstractNumId w:val="14"/>
  </w:num>
  <w:num w:numId="15">
    <w:abstractNumId w:val="11"/>
  </w:num>
  <w:num w:numId="16">
    <w:abstractNumId w:val="6"/>
  </w:num>
  <w:num w:numId="17">
    <w:abstractNumId w:val="24"/>
  </w:num>
  <w:num w:numId="18">
    <w:abstractNumId w:val="16"/>
  </w:num>
  <w:num w:numId="19">
    <w:abstractNumId w:val="18"/>
  </w:num>
  <w:num w:numId="20">
    <w:abstractNumId w:val="26"/>
  </w:num>
  <w:num w:numId="21">
    <w:abstractNumId w:val="28"/>
  </w:num>
  <w:num w:numId="22">
    <w:abstractNumId w:val="17"/>
  </w:num>
  <w:num w:numId="23">
    <w:abstractNumId w:val="2"/>
  </w:num>
  <w:num w:numId="24">
    <w:abstractNumId w:val="22"/>
  </w:num>
  <w:num w:numId="25">
    <w:abstractNumId w:val="23"/>
  </w:num>
  <w:num w:numId="26">
    <w:abstractNumId w:val="7"/>
  </w:num>
  <w:num w:numId="27">
    <w:abstractNumId w:val="4"/>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F0"/>
    <w:rsid w:val="00021F36"/>
    <w:rsid w:val="00044A69"/>
    <w:rsid w:val="00056944"/>
    <w:rsid w:val="000763E2"/>
    <w:rsid w:val="000D410D"/>
    <w:rsid w:val="000D77BD"/>
    <w:rsid w:val="000E212F"/>
    <w:rsid w:val="000E4ECE"/>
    <w:rsid w:val="000E5826"/>
    <w:rsid w:val="000E7C0B"/>
    <w:rsid w:val="000F5248"/>
    <w:rsid w:val="001069A8"/>
    <w:rsid w:val="001238E6"/>
    <w:rsid w:val="00140462"/>
    <w:rsid w:val="001A3666"/>
    <w:rsid w:val="001D11C4"/>
    <w:rsid w:val="00213B84"/>
    <w:rsid w:val="00220758"/>
    <w:rsid w:val="00236A15"/>
    <w:rsid w:val="00273608"/>
    <w:rsid w:val="00274729"/>
    <w:rsid w:val="002807CD"/>
    <w:rsid w:val="00283CB0"/>
    <w:rsid w:val="002A16A5"/>
    <w:rsid w:val="002D024D"/>
    <w:rsid w:val="002F7E20"/>
    <w:rsid w:val="00316D5B"/>
    <w:rsid w:val="00340D22"/>
    <w:rsid w:val="00341EC4"/>
    <w:rsid w:val="00342FC2"/>
    <w:rsid w:val="00366A88"/>
    <w:rsid w:val="00376C23"/>
    <w:rsid w:val="00377A26"/>
    <w:rsid w:val="00396304"/>
    <w:rsid w:val="003B012F"/>
    <w:rsid w:val="003D549B"/>
    <w:rsid w:val="003F37A0"/>
    <w:rsid w:val="00471543"/>
    <w:rsid w:val="004B2FB3"/>
    <w:rsid w:val="004C55BE"/>
    <w:rsid w:val="00516341"/>
    <w:rsid w:val="00567B89"/>
    <w:rsid w:val="00574028"/>
    <w:rsid w:val="005A5A0D"/>
    <w:rsid w:val="005D0E43"/>
    <w:rsid w:val="00605B3F"/>
    <w:rsid w:val="006060BC"/>
    <w:rsid w:val="0062377D"/>
    <w:rsid w:val="00665248"/>
    <w:rsid w:val="006B09AC"/>
    <w:rsid w:val="006B58EE"/>
    <w:rsid w:val="006C3BBA"/>
    <w:rsid w:val="006D56CC"/>
    <w:rsid w:val="00705A69"/>
    <w:rsid w:val="00764B24"/>
    <w:rsid w:val="00772EB5"/>
    <w:rsid w:val="007A3439"/>
    <w:rsid w:val="007E4F53"/>
    <w:rsid w:val="00806F9F"/>
    <w:rsid w:val="0085113B"/>
    <w:rsid w:val="00854ABE"/>
    <w:rsid w:val="008A2EC4"/>
    <w:rsid w:val="008B1644"/>
    <w:rsid w:val="008C2C87"/>
    <w:rsid w:val="008C5116"/>
    <w:rsid w:val="008D29FC"/>
    <w:rsid w:val="008E4204"/>
    <w:rsid w:val="00925010"/>
    <w:rsid w:val="009A420D"/>
    <w:rsid w:val="009A67FA"/>
    <w:rsid w:val="009C3A97"/>
    <w:rsid w:val="009E6CDA"/>
    <w:rsid w:val="009F334C"/>
    <w:rsid w:val="009F6DE1"/>
    <w:rsid w:val="00A07406"/>
    <w:rsid w:val="00A125B3"/>
    <w:rsid w:val="00A15320"/>
    <w:rsid w:val="00A203DD"/>
    <w:rsid w:val="00A25281"/>
    <w:rsid w:val="00A44A69"/>
    <w:rsid w:val="00A53311"/>
    <w:rsid w:val="00A5439B"/>
    <w:rsid w:val="00A644B3"/>
    <w:rsid w:val="00A872AB"/>
    <w:rsid w:val="00AA0595"/>
    <w:rsid w:val="00AA3EE7"/>
    <w:rsid w:val="00AC3064"/>
    <w:rsid w:val="00AE2F1A"/>
    <w:rsid w:val="00AE45A2"/>
    <w:rsid w:val="00AE6940"/>
    <w:rsid w:val="00B029DD"/>
    <w:rsid w:val="00B21FD0"/>
    <w:rsid w:val="00B5412F"/>
    <w:rsid w:val="00B92FE5"/>
    <w:rsid w:val="00BA75A9"/>
    <w:rsid w:val="00BB0DA5"/>
    <w:rsid w:val="00BB3462"/>
    <w:rsid w:val="00BB4C2E"/>
    <w:rsid w:val="00BC1705"/>
    <w:rsid w:val="00BD0D0F"/>
    <w:rsid w:val="00BD1A34"/>
    <w:rsid w:val="00BE4C77"/>
    <w:rsid w:val="00BF5F9F"/>
    <w:rsid w:val="00C17B13"/>
    <w:rsid w:val="00C21818"/>
    <w:rsid w:val="00C36A00"/>
    <w:rsid w:val="00C45144"/>
    <w:rsid w:val="00CA4AEA"/>
    <w:rsid w:val="00CB10EA"/>
    <w:rsid w:val="00CD07CB"/>
    <w:rsid w:val="00CE0970"/>
    <w:rsid w:val="00D14D48"/>
    <w:rsid w:val="00D2207E"/>
    <w:rsid w:val="00D2734C"/>
    <w:rsid w:val="00D410F2"/>
    <w:rsid w:val="00D41735"/>
    <w:rsid w:val="00D83A7A"/>
    <w:rsid w:val="00DB5898"/>
    <w:rsid w:val="00DE79C9"/>
    <w:rsid w:val="00E127F4"/>
    <w:rsid w:val="00E24ED9"/>
    <w:rsid w:val="00E55C6C"/>
    <w:rsid w:val="00E71A29"/>
    <w:rsid w:val="00EB34C4"/>
    <w:rsid w:val="00EB4FED"/>
    <w:rsid w:val="00EC30B4"/>
    <w:rsid w:val="00ED3D07"/>
    <w:rsid w:val="00F002F0"/>
    <w:rsid w:val="00F01EAD"/>
    <w:rsid w:val="00F35E7E"/>
    <w:rsid w:val="00F44BF2"/>
    <w:rsid w:val="00F474CF"/>
    <w:rsid w:val="00F71E4F"/>
    <w:rsid w:val="00F8711A"/>
    <w:rsid w:val="00FF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11901"/>
  <w15:docId w15:val="{CD5183C7-E39C-4F01-98C5-FA02FF83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02F0"/>
  </w:style>
  <w:style w:type="character" w:styleId="Strong">
    <w:name w:val="Strong"/>
    <w:basedOn w:val="DefaultParagraphFont"/>
    <w:uiPriority w:val="22"/>
    <w:qFormat/>
    <w:rsid w:val="00F002F0"/>
    <w:rPr>
      <w:b/>
      <w:bCs/>
    </w:rPr>
  </w:style>
  <w:style w:type="paragraph" w:styleId="ListParagraph">
    <w:name w:val="List Paragraph"/>
    <w:basedOn w:val="Normal"/>
    <w:uiPriority w:val="34"/>
    <w:qFormat/>
    <w:rsid w:val="00F002F0"/>
    <w:pPr>
      <w:ind w:left="720"/>
      <w:contextualSpacing/>
    </w:pPr>
  </w:style>
  <w:style w:type="paragraph" w:styleId="Header">
    <w:name w:val="header"/>
    <w:basedOn w:val="Normal"/>
    <w:link w:val="HeaderChar"/>
    <w:uiPriority w:val="99"/>
    <w:unhideWhenUsed/>
    <w:rsid w:val="00E1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7F4"/>
  </w:style>
  <w:style w:type="paragraph" w:styleId="Footer">
    <w:name w:val="footer"/>
    <w:basedOn w:val="Normal"/>
    <w:link w:val="FooterChar"/>
    <w:unhideWhenUsed/>
    <w:rsid w:val="00E1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7F4"/>
  </w:style>
  <w:style w:type="paragraph" w:styleId="BalloonText">
    <w:name w:val="Balloon Text"/>
    <w:basedOn w:val="Normal"/>
    <w:link w:val="BalloonTextChar"/>
    <w:uiPriority w:val="99"/>
    <w:semiHidden/>
    <w:unhideWhenUsed/>
    <w:rsid w:val="00CD0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7CB"/>
    <w:rPr>
      <w:rFonts w:ascii="Segoe UI" w:hAnsi="Segoe UI" w:cs="Segoe UI"/>
      <w:sz w:val="18"/>
      <w:szCs w:val="18"/>
    </w:rPr>
  </w:style>
  <w:style w:type="character" w:styleId="CommentReference">
    <w:name w:val="annotation reference"/>
    <w:basedOn w:val="DefaultParagraphFont"/>
    <w:uiPriority w:val="99"/>
    <w:semiHidden/>
    <w:unhideWhenUsed/>
    <w:rsid w:val="002A16A5"/>
    <w:rPr>
      <w:sz w:val="16"/>
      <w:szCs w:val="16"/>
    </w:rPr>
  </w:style>
  <w:style w:type="paragraph" w:styleId="CommentText">
    <w:name w:val="annotation text"/>
    <w:basedOn w:val="Normal"/>
    <w:link w:val="CommentTextChar"/>
    <w:uiPriority w:val="99"/>
    <w:semiHidden/>
    <w:unhideWhenUsed/>
    <w:rsid w:val="002A16A5"/>
    <w:pPr>
      <w:spacing w:line="240" w:lineRule="auto"/>
    </w:pPr>
    <w:rPr>
      <w:sz w:val="20"/>
      <w:szCs w:val="20"/>
    </w:rPr>
  </w:style>
  <w:style w:type="character" w:customStyle="1" w:styleId="CommentTextChar">
    <w:name w:val="Comment Text Char"/>
    <w:basedOn w:val="DefaultParagraphFont"/>
    <w:link w:val="CommentText"/>
    <w:uiPriority w:val="99"/>
    <w:semiHidden/>
    <w:rsid w:val="002A16A5"/>
    <w:rPr>
      <w:sz w:val="20"/>
      <w:szCs w:val="20"/>
    </w:rPr>
  </w:style>
  <w:style w:type="character" w:styleId="Hyperlink">
    <w:name w:val="Hyperlink"/>
    <w:basedOn w:val="DefaultParagraphFont"/>
    <w:uiPriority w:val="99"/>
    <w:unhideWhenUsed/>
    <w:rsid w:val="00021F36"/>
    <w:rPr>
      <w:color w:val="0563C1" w:themeColor="hyperlink"/>
      <w:u w:val="single"/>
    </w:rPr>
  </w:style>
  <w:style w:type="character" w:styleId="Emphasis">
    <w:name w:val="Emphasis"/>
    <w:basedOn w:val="DefaultParagraphFont"/>
    <w:uiPriority w:val="20"/>
    <w:qFormat/>
    <w:rsid w:val="00A07406"/>
    <w:rPr>
      <w:i/>
      <w:iCs/>
    </w:rPr>
  </w:style>
  <w:style w:type="character" w:styleId="FollowedHyperlink">
    <w:name w:val="FollowedHyperlink"/>
    <w:basedOn w:val="DefaultParagraphFont"/>
    <w:uiPriority w:val="99"/>
    <w:semiHidden/>
    <w:unhideWhenUsed/>
    <w:rsid w:val="000F52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06181">
      <w:bodyDiv w:val="1"/>
      <w:marLeft w:val="0"/>
      <w:marRight w:val="0"/>
      <w:marTop w:val="0"/>
      <w:marBottom w:val="0"/>
      <w:divBdr>
        <w:top w:val="none" w:sz="0" w:space="0" w:color="auto"/>
        <w:left w:val="none" w:sz="0" w:space="0" w:color="auto"/>
        <w:bottom w:val="none" w:sz="0" w:space="0" w:color="auto"/>
        <w:right w:val="none" w:sz="0" w:space="0" w:color="auto"/>
      </w:divBdr>
    </w:div>
    <w:div w:id="1498380397">
      <w:bodyDiv w:val="1"/>
      <w:marLeft w:val="0"/>
      <w:marRight w:val="0"/>
      <w:marTop w:val="0"/>
      <w:marBottom w:val="0"/>
      <w:divBdr>
        <w:top w:val="none" w:sz="0" w:space="0" w:color="auto"/>
        <w:left w:val="none" w:sz="0" w:space="0" w:color="auto"/>
        <w:bottom w:val="none" w:sz="0" w:space="0" w:color="auto"/>
        <w:right w:val="none" w:sz="0" w:space="0" w:color="auto"/>
      </w:divBdr>
    </w:div>
    <w:div w:id="19632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alestate.wharton.upenn.edu/research/papers/full/535.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hsonline.org/programs/landcare-progr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demic.oup.com/aje/article/174/11/1296/111352/A-Difference-in-Differences-Analysis-of-Health"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76F0C8BDCD6488988F6277D5BF6A3" ma:contentTypeVersion="13" ma:contentTypeDescription="Create a new document." ma:contentTypeScope="" ma:versionID="c12ea48b7f5b2150960fa0b3ec9b455c">
  <xsd:schema xmlns:xsd="http://www.w3.org/2001/XMLSchema" xmlns:xs="http://www.w3.org/2001/XMLSchema" xmlns:p="http://schemas.microsoft.com/office/2006/metadata/properties" xmlns:ns2="cebf1dcb-89b7-4c8d-ab74-c2db1e5ea94c" xmlns:ns3="2bd6bdc4-3ef0-47e3-a3d1-a35334b8ab80" targetNamespace="http://schemas.microsoft.com/office/2006/metadata/properties" ma:root="true" ma:fieldsID="fbe8554b52db7281a73da698c56c3b2c" ns2:_="" ns3:_="">
    <xsd:import namespace="cebf1dcb-89b7-4c8d-ab74-c2db1e5ea94c"/>
    <xsd:import namespace="2bd6bdc4-3ef0-47e3-a3d1-a35334b8ab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1dcb-89b7-4c8d-ab74-c2db1e5ea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221cd5-2a0a-440b-aa84-8a0a408162f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6bdc4-3ef0-47e3-a3d1-a35334b8ab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69364b-fdf9-4dce-abee-42dd2113b0bd}" ma:internalName="TaxCatchAll" ma:showField="CatchAllData" ma:web="2bd6bdc4-3ef0-47e3-a3d1-a35334b8ab8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bf1dcb-89b7-4c8d-ab74-c2db1e5ea94c">
      <Terms xmlns="http://schemas.microsoft.com/office/infopath/2007/PartnerControls"/>
    </lcf76f155ced4ddcb4097134ff3c332f>
    <TaxCatchAll xmlns="2bd6bdc4-3ef0-47e3-a3d1-a35334b8ab80" xsi:nil="true"/>
  </documentManagement>
</p:properties>
</file>

<file path=customXml/itemProps1.xml><?xml version="1.0" encoding="utf-8"?>
<ds:datastoreItem xmlns:ds="http://schemas.openxmlformats.org/officeDocument/2006/customXml" ds:itemID="{7CDC1E36-5A6A-4547-BE30-8D054938C1BD}"/>
</file>

<file path=customXml/itemProps2.xml><?xml version="1.0" encoding="utf-8"?>
<ds:datastoreItem xmlns:ds="http://schemas.openxmlformats.org/officeDocument/2006/customXml" ds:itemID="{8FBE2E2D-85F1-47BC-9F98-B28574CD1E60}"/>
</file>

<file path=customXml/itemProps3.xml><?xml version="1.0" encoding="utf-8"?>
<ds:datastoreItem xmlns:ds="http://schemas.openxmlformats.org/officeDocument/2006/customXml" ds:itemID="{47791317-1B80-40DB-8D8E-F3EB14DAA30A}"/>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Ware</dc:creator>
  <cp:lastModifiedBy>Francesca Gross</cp:lastModifiedBy>
  <cp:revision>2</cp:revision>
  <cp:lastPrinted>2016-10-19T16:07:00Z</cp:lastPrinted>
  <dcterms:created xsi:type="dcterms:W3CDTF">2017-06-15T20:13:00Z</dcterms:created>
  <dcterms:modified xsi:type="dcterms:W3CDTF">2017-06-15T20:13:00Z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0x0101003D276F0C8BDCD6488988F6277D5BF6A3</vt:lpwstr>
  </property>
</Properties>
</file>